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DA" w:rsidRPr="00D66AF3" w:rsidRDefault="006F15DC" w:rsidP="00D66AF3">
      <w:pPr>
        <w:widowControl w:val="0"/>
        <w:spacing w:after="220"/>
        <w:jc w:val="center"/>
        <w:rPr>
          <w:rFonts w:eastAsia="CGOmega" w:cstheme="minorHAnsi"/>
          <w:b/>
          <w:caps/>
          <w:color w:val="006EAB"/>
          <w:sz w:val="24"/>
          <w:szCs w:val="24"/>
          <w:lang w:val="es-ES" w:eastAsia="zh-CN"/>
        </w:rPr>
      </w:pPr>
      <w:bookmarkStart w:id="0" w:name="_GoBack"/>
      <w:bookmarkEnd w:id="0"/>
      <w:r w:rsidRPr="00D66AF3">
        <w:rPr>
          <w:rFonts w:eastAsia="CGOmega" w:cstheme="minorHAnsi"/>
          <w:b/>
          <w:caps/>
          <w:color w:val="006EAB"/>
          <w:sz w:val="24"/>
          <w:szCs w:val="24"/>
          <w:lang w:val="es-ES" w:eastAsia="zh-CN"/>
        </w:rPr>
        <w:t>p</w:t>
      </w:r>
      <w:r w:rsidR="00DB39DA" w:rsidRPr="00D66AF3">
        <w:rPr>
          <w:rFonts w:eastAsia="CGOmega" w:cstheme="minorHAnsi"/>
          <w:b/>
          <w:caps/>
          <w:color w:val="006EAB"/>
          <w:sz w:val="24"/>
          <w:szCs w:val="24"/>
          <w:lang w:val="es-ES" w:eastAsia="zh-CN"/>
        </w:rPr>
        <w:t>remio de tradu</w:t>
      </w:r>
      <w:r w:rsidRPr="00D66AF3">
        <w:rPr>
          <w:rFonts w:eastAsia="CGOmega" w:cstheme="minorHAnsi"/>
          <w:b/>
          <w:caps/>
          <w:color w:val="006EAB"/>
          <w:sz w:val="24"/>
          <w:szCs w:val="24"/>
          <w:lang w:val="es-ES" w:eastAsia="zh-CN"/>
        </w:rPr>
        <w:t>cción Etxepare-Laboral Kutxa_2017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El </w:t>
      </w:r>
      <w:r w:rsidR="006F15DC" w:rsidRPr="00B80768">
        <w:rPr>
          <w:rFonts w:cstheme="minorHAnsi"/>
          <w:sz w:val="24"/>
          <w:szCs w:val="24"/>
          <w:lang w:val="es-ES" w:eastAsia="es-ES_tradnl"/>
        </w:rPr>
        <w:t xml:space="preserve">Instituto Vasco Etxepare 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y Laboral </w:t>
      </w:r>
      <w:proofErr w:type="spellStart"/>
      <w:r w:rsidR="006F15DC" w:rsidRPr="00B80768">
        <w:rPr>
          <w:rFonts w:cstheme="minorHAnsi"/>
          <w:sz w:val="24"/>
          <w:szCs w:val="24"/>
          <w:lang w:val="es-ES" w:eastAsia="es-ES_tradnl"/>
        </w:rPr>
        <w:t>Kutxa</w:t>
      </w:r>
      <w:proofErr w:type="spellEnd"/>
      <w:r w:rsidR="006F15DC" w:rsidRPr="00B80768">
        <w:rPr>
          <w:rFonts w:cstheme="minorHAnsi"/>
          <w:sz w:val="24"/>
          <w:szCs w:val="24"/>
          <w:lang w:val="es-ES" w:eastAsia="es-ES_tradnl"/>
        </w:rPr>
        <w:t xml:space="preserve">, </w:t>
      </w:r>
      <w:r w:rsidR="006E0A28">
        <w:rPr>
          <w:rFonts w:cstheme="minorHAnsi"/>
          <w:sz w:val="24"/>
          <w:szCs w:val="24"/>
          <w:lang w:val="es-ES" w:eastAsia="es-ES_tradnl"/>
        </w:rPr>
        <w:t>en el</w:t>
      </w:r>
      <w:r w:rsidR="006F15DC" w:rsidRPr="00B80768">
        <w:rPr>
          <w:rFonts w:cstheme="minorHAnsi"/>
          <w:sz w:val="24"/>
          <w:szCs w:val="24"/>
          <w:lang w:val="es-ES" w:eastAsia="es-ES_tradnl"/>
        </w:rPr>
        <w:t xml:space="preserve"> convenio de colaboración firmado el 30 de mayo de 2017, han considerando oportuno la 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promoción fuera de nuestro territorio de la traducción de </w:t>
      </w:r>
      <w:r w:rsidR="006F15DC" w:rsidRPr="00B80768">
        <w:rPr>
          <w:rFonts w:cstheme="minorHAnsi"/>
          <w:sz w:val="24"/>
          <w:szCs w:val="24"/>
          <w:lang w:val="es-ES" w:eastAsia="es-ES_tradnl"/>
        </w:rPr>
        <w:t xml:space="preserve">la 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literatura escrita originariamente en euskera y </w:t>
      </w:r>
      <w:r w:rsidR="006F15DC" w:rsidRPr="00B80768">
        <w:rPr>
          <w:rFonts w:cstheme="minorHAnsi"/>
          <w:sz w:val="24"/>
          <w:szCs w:val="24"/>
          <w:lang w:val="es-ES" w:eastAsia="es-ES_tradnl"/>
        </w:rPr>
        <w:t xml:space="preserve">la concesión </w:t>
      </w:r>
      <w:r w:rsidRPr="00B80768">
        <w:rPr>
          <w:rFonts w:cstheme="minorHAnsi"/>
          <w:sz w:val="24"/>
          <w:szCs w:val="24"/>
          <w:lang w:val="es-ES" w:eastAsia="es-ES_tradnl"/>
        </w:rPr>
        <w:t>de un premio a la traducción de una obra literaria.</w:t>
      </w:r>
      <w:r w:rsidR="00F930D0" w:rsidRPr="00B80768">
        <w:rPr>
          <w:rFonts w:cstheme="minorHAnsi"/>
          <w:sz w:val="24"/>
          <w:szCs w:val="24"/>
          <w:lang w:val="es-ES" w:eastAsia="es-ES_tradnl"/>
        </w:rPr>
        <w:t xml:space="preserve"> En ese conte</w:t>
      </w:r>
      <w:r w:rsidR="006E0A28">
        <w:rPr>
          <w:rFonts w:cstheme="minorHAnsi"/>
          <w:sz w:val="24"/>
          <w:szCs w:val="24"/>
          <w:lang w:val="es-ES" w:eastAsia="es-ES_tradnl"/>
        </w:rPr>
        <w:t>x</w:t>
      </w:r>
      <w:r w:rsidR="00F930D0" w:rsidRPr="00B80768">
        <w:rPr>
          <w:rFonts w:cstheme="minorHAnsi"/>
          <w:sz w:val="24"/>
          <w:szCs w:val="24"/>
          <w:lang w:val="es-ES" w:eastAsia="es-ES_tradnl"/>
        </w:rPr>
        <w:t xml:space="preserve">to, han acordado convocar el “Premio de Traducción Etxepare-Laboral </w:t>
      </w:r>
      <w:proofErr w:type="spellStart"/>
      <w:r w:rsidR="00F930D0" w:rsidRPr="00B80768">
        <w:rPr>
          <w:rFonts w:cstheme="minorHAnsi"/>
          <w:sz w:val="24"/>
          <w:szCs w:val="24"/>
          <w:lang w:val="es-ES" w:eastAsia="es-ES_tradnl"/>
        </w:rPr>
        <w:t>Kutxa</w:t>
      </w:r>
      <w:proofErr w:type="spellEnd"/>
      <w:r w:rsidR="00F930D0" w:rsidRPr="00B80768">
        <w:rPr>
          <w:rFonts w:cstheme="minorHAnsi"/>
          <w:sz w:val="24"/>
          <w:szCs w:val="24"/>
          <w:lang w:val="es-ES" w:eastAsia="es-ES_tradnl"/>
        </w:rPr>
        <w:t>”, que se regirá por las siguientes bases.</w:t>
      </w:r>
    </w:p>
    <w:p w:rsidR="00DB39DA" w:rsidRPr="00B80768" w:rsidRDefault="00F930D0" w:rsidP="00B80768">
      <w:pPr>
        <w:widowControl w:val="0"/>
        <w:spacing w:after="220"/>
        <w:ind w:firstLine="567"/>
        <w:rPr>
          <w:rFonts w:cstheme="minorHAnsi"/>
          <w:b/>
          <w:sz w:val="24"/>
          <w:szCs w:val="24"/>
          <w:lang w:val="es-ES" w:eastAsia="es-ES_tradnl"/>
        </w:rPr>
      </w:pPr>
      <w:r w:rsidRPr="00B80768">
        <w:rPr>
          <w:rFonts w:cstheme="minorHAnsi"/>
          <w:b/>
          <w:sz w:val="24"/>
          <w:szCs w:val="24"/>
          <w:lang w:val="es-ES" w:eastAsia="es-ES_tradnl"/>
        </w:rPr>
        <w:t>BASES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Objet</w:t>
      </w:r>
      <w:r w:rsidR="00F930D0"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o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El objeto de esta convocatoria es conceder un premio a una traducción de una obra literaria escrita y publicada originariamente en euskera.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Naturaleza del premio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El premio será concedido en virtud de la calidad de la traducción y de la planificación promocional de la editorial.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Por tal motivo, el premio será compartido por la editorial y el/a traductor/a.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Recursos económicos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El premio será de 4.000 euros. La editorial y el/a traductor/a serán quienes perciban esa cantidad, la mitad cada una de las partes.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Además del premio, quienes reciban el premio podrán percibir hasta 2.000 euros más  para asistir al reparto del premio o para continuar con la labor de promoción en el país de la edición (presentaciones, actividades, campañas publicitarias, entrevistas en los medios…)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Condiciones que</w:t>
      </w:r>
      <w:r w:rsidR="00F845D0"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 xml:space="preserve"> deben cumplir las candidaturas</w:t>
      </w:r>
    </w:p>
    <w:p w:rsidR="00DB39DA" w:rsidRPr="00B80768" w:rsidRDefault="00DB39DA" w:rsidP="00B80768">
      <w:pPr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Pueden solicitar la solicitud el/a traductor/</w:t>
      </w:r>
      <w:r w:rsidR="00F845D0" w:rsidRPr="00B80768">
        <w:rPr>
          <w:rFonts w:cstheme="minorHAnsi"/>
          <w:sz w:val="24"/>
          <w:szCs w:val="24"/>
          <w:lang w:val="es-ES" w:eastAsia="es-ES_tradnl"/>
        </w:rPr>
        <w:t xml:space="preserve">a, la editorial o cualquier otro agente </w:t>
      </w:r>
      <w:r w:rsidRPr="00B80768">
        <w:rPr>
          <w:rFonts w:cstheme="minorHAnsi"/>
          <w:sz w:val="24"/>
          <w:szCs w:val="24"/>
          <w:lang w:val="es-ES" w:eastAsia="es-ES_tradnl"/>
        </w:rPr>
        <w:t>del ámbito de</w:t>
      </w:r>
      <w:r w:rsidR="00F845D0" w:rsidRPr="00B80768">
        <w:rPr>
          <w:rFonts w:cstheme="minorHAnsi"/>
          <w:sz w:val="24"/>
          <w:szCs w:val="24"/>
          <w:lang w:val="es-ES" w:eastAsia="es-ES_tradnl"/>
        </w:rPr>
        <w:t>l libro,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 la literatura o la traducción.</w:t>
      </w:r>
    </w:p>
    <w:p w:rsidR="00DB39DA" w:rsidRPr="00B80768" w:rsidRDefault="00DB39DA" w:rsidP="00B80768">
      <w:pPr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La traducción debe haber sido publicada en 201</w:t>
      </w:r>
      <w:r w:rsidR="00F845D0" w:rsidRPr="00B80768">
        <w:rPr>
          <w:rFonts w:cstheme="minorHAnsi"/>
          <w:sz w:val="24"/>
          <w:szCs w:val="24"/>
          <w:lang w:val="es-ES" w:eastAsia="es-ES_tradnl"/>
        </w:rPr>
        <w:t>6</w:t>
      </w:r>
      <w:r w:rsidRPr="00B80768">
        <w:rPr>
          <w:rFonts w:cstheme="minorHAnsi"/>
          <w:sz w:val="24"/>
          <w:szCs w:val="24"/>
          <w:lang w:val="es-ES" w:eastAsia="es-ES_tradnl"/>
        </w:rPr>
        <w:t>.</w:t>
      </w:r>
    </w:p>
    <w:p w:rsidR="00DB39DA" w:rsidRPr="00B80768" w:rsidRDefault="00DB39DA" w:rsidP="00B80768">
      <w:pPr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Debe tratarse de la traducción de una obra literaria escrita y publicada originariamente en euskera.</w:t>
      </w:r>
    </w:p>
    <w:p w:rsidR="00DB39DA" w:rsidRPr="00EB4678" w:rsidRDefault="00F845D0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Plazo, l</w:t>
      </w:r>
      <w:r w:rsidR="00DB39DA"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ugar y</w:t>
      </w: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 xml:space="preserve"> modo </w:t>
      </w:r>
      <w:r w:rsidR="00DB39DA"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de presentación de las candidaturas.</w:t>
      </w:r>
    </w:p>
    <w:p w:rsidR="00DB39DA" w:rsidRPr="00B80768" w:rsidRDefault="00F845D0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lastRenderedPageBreak/>
        <w:t xml:space="preserve">a) 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 xml:space="preserve">El plazo de presentación de </w:t>
      </w:r>
      <w:r w:rsidRPr="00B80768">
        <w:rPr>
          <w:rFonts w:cstheme="minorHAnsi"/>
          <w:sz w:val="24"/>
          <w:szCs w:val="24"/>
          <w:lang w:val="es-ES" w:eastAsia="es-ES_tradnl"/>
        </w:rPr>
        <w:t>candidaturas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 xml:space="preserve"> será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 del 5 al 30 de junio de 2017, ambos inclusive.</w:t>
      </w:r>
    </w:p>
    <w:p w:rsidR="00D01D73" w:rsidRPr="00B80768" w:rsidRDefault="00F845D0" w:rsidP="00B80768">
      <w:pPr>
        <w:widowControl w:val="0"/>
        <w:spacing w:after="220"/>
        <w:ind w:firstLine="567"/>
        <w:jc w:val="both"/>
        <w:rPr>
          <w:rFonts w:cstheme="minorHAnsi"/>
          <w:bCs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b) </w:t>
      </w:r>
      <w:r w:rsidR="00DB39DA" w:rsidRPr="00A52538">
        <w:rPr>
          <w:rFonts w:cstheme="minorHAnsi"/>
          <w:bCs/>
          <w:sz w:val="24"/>
          <w:szCs w:val="24"/>
          <w:lang w:val="es-ES" w:eastAsia="es-ES_tradnl"/>
        </w:rPr>
        <w:t>La solicitud</w:t>
      </w:r>
      <w:r w:rsidR="00DB39DA" w:rsidRPr="00B80768">
        <w:rPr>
          <w:rFonts w:cstheme="minorHAnsi"/>
          <w:bCs/>
          <w:sz w:val="24"/>
          <w:szCs w:val="24"/>
          <w:lang w:val="es-ES" w:eastAsia="es-ES_tradnl"/>
        </w:rPr>
        <w:t xml:space="preserve"> deberán </w:t>
      </w:r>
      <w:r w:rsidRPr="00B80768">
        <w:rPr>
          <w:rFonts w:cstheme="minorHAnsi"/>
          <w:bCs/>
          <w:sz w:val="24"/>
          <w:szCs w:val="24"/>
          <w:lang w:val="es-ES" w:eastAsia="es-ES_tradnl"/>
        </w:rPr>
        <w:t xml:space="preserve">enviarse por correo electrónico a la dirección </w:t>
      </w:r>
      <w:hyperlink r:id="rId8" w:history="1">
        <w:r w:rsidRPr="00B80768">
          <w:rPr>
            <w:rStyle w:val="Hiperesteka"/>
            <w:rFonts w:cstheme="minorHAnsi"/>
            <w:bCs/>
            <w:sz w:val="24"/>
            <w:szCs w:val="24"/>
            <w:lang w:val="es-ES" w:eastAsia="es-ES_tradnl"/>
          </w:rPr>
          <w:t>etxepare@etxepare.eus</w:t>
        </w:r>
      </w:hyperlink>
      <w:r w:rsidR="00D01D73" w:rsidRPr="00B80768">
        <w:rPr>
          <w:rFonts w:cstheme="minorHAnsi"/>
          <w:bCs/>
          <w:sz w:val="24"/>
          <w:szCs w:val="24"/>
          <w:lang w:val="es-ES" w:eastAsia="es-ES_tradnl"/>
        </w:rPr>
        <w:t>, junto con la siguiente documentación:</w:t>
      </w:r>
    </w:p>
    <w:p w:rsidR="00D01D73" w:rsidRPr="00B80768" w:rsidRDefault="00D01D73" w:rsidP="00B80768">
      <w:pPr>
        <w:widowControl w:val="0"/>
        <w:numPr>
          <w:ilvl w:val="0"/>
          <w:numId w:val="4"/>
        </w:numPr>
        <w:tabs>
          <w:tab w:val="left" w:pos="851"/>
        </w:tabs>
        <w:spacing w:after="220"/>
        <w:ind w:left="0"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El Curriculum Vitae del/a traductor/a.</w:t>
      </w:r>
    </w:p>
    <w:p w:rsidR="00D01D73" w:rsidRPr="00B80768" w:rsidRDefault="00D01D73" w:rsidP="00B80768">
      <w:pPr>
        <w:widowControl w:val="0"/>
        <w:numPr>
          <w:ilvl w:val="0"/>
          <w:numId w:val="4"/>
        </w:numPr>
        <w:tabs>
          <w:tab w:val="left" w:pos="851"/>
        </w:tabs>
        <w:spacing w:after="220"/>
        <w:ind w:left="0"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Un informe sobre la editorial. El informe deberá contemplar tanto las actividades de promoción llevadas a cabo hasta el momento de la presentación como las previstas en el fututo próximo.</w:t>
      </w:r>
    </w:p>
    <w:p w:rsidR="00D01D73" w:rsidRPr="00B80768" w:rsidRDefault="00D01D73" w:rsidP="00B80768">
      <w:pPr>
        <w:widowControl w:val="0"/>
        <w:numPr>
          <w:ilvl w:val="0"/>
          <w:numId w:val="4"/>
        </w:numPr>
        <w:tabs>
          <w:tab w:val="left" w:pos="851"/>
        </w:tabs>
        <w:spacing w:after="220"/>
        <w:ind w:left="0"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Las primeras 15 páginas de la traducción presentada.</w:t>
      </w:r>
    </w:p>
    <w:p w:rsidR="000C27BE" w:rsidRPr="00B80768" w:rsidRDefault="00D01D73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c) </w:t>
      </w:r>
      <w:r w:rsidR="00A52538">
        <w:rPr>
          <w:rFonts w:cstheme="minorHAnsi"/>
          <w:sz w:val="24"/>
          <w:szCs w:val="24"/>
          <w:lang w:val="es-ES" w:eastAsia="es-ES_tradnl"/>
        </w:rPr>
        <w:t>Dentro del citado plazo, p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ara completar dicha solicitud </w:t>
      </w:r>
      <w:r w:rsidR="000C27BE" w:rsidRPr="00B80768">
        <w:rPr>
          <w:rFonts w:cstheme="minorHAnsi"/>
          <w:sz w:val="24"/>
          <w:szCs w:val="24"/>
          <w:lang w:val="es-ES" w:eastAsia="es-ES_tradnl"/>
        </w:rPr>
        <w:t xml:space="preserve">se deberá enviar un ejemplar del libro a la siguiente dirección postal: Instituto Vasco Etxepare. </w:t>
      </w:r>
      <w:r w:rsidR="00191390" w:rsidRPr="00B80768">
        <w:rPr>
          <w:rFonts w:cstheme="minorHAnsi"/>
          <w:sz w:val="24"/>
          <w:szCs w:val="24"/>
          <w:lang w:val="es-ES" w:eastAsia="es-ES_tradnl"/>
        </w:rPr>
        <w:t xml:space="preserve">Edificio </w:t>
      </w:r>
      <w:proofErr w:type="spellStart"/>
      <w:r w:rsidR="00191390" w:rsidRPr="00B80768">
        <w:rPr>
          <w:rFonts w:cstheme="minorHAnsi"/>
          <w:sz w:val="24"/>
          <w:szCs w:val="24"/>
          <w:lang w:val="es-ES" w:eastAsia="es-ES_tradnl"/>
        </w:rPr>
        <w:t>Tabakalera</w:t>
      </w:r>
      <w:proofErr w:type="spellEnd"/>
      <w:r w:rsidR="00191390" w:rsidRPr="00B80768">
        <w:rPr>
          <w:rFonts w:cstheme="minorHAnsi"/>
          <w:sz w:val="24"/>
          <w:szCs w:val="24"/>
          <w:lang w:val="es-ES" w:eastAsia="es-ES_tradnl"/>
        </w:rPr>
        <w:t xml:space="preserve">. 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>Plaza de las Cigarreras, nº 1, 20.012 Donostia-San Sebastián</w:t>
      </w:r>
      <w:r w:rsidR="000C27BE" w:rsidRPr="00B80768">
        <w:rPr>
          <w:rFonts w:cstheme="minorHAnsi"/>
          <w:sz w:val="24"/>
          <w:szCs w:val="24"/>
          <w:lang w:val="es-ES" w:eastAsia="es-ES_tradnl"/>
        </w:rPr>
        <w:t>.</w:t>
      </w:r>
    </w:p>
    <w:p w:rsidR="000C27BE" w:rsidRPr="00EB4678" w:rsidRDefault="000C27BE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Lista de candidaturas admitidas y excluidas</w:t>
      </w:r>
    </w:p>
    <w:p w:rsidR="000C27BE" w:rsidRPr="00B80768" w:rsidRDefault="000C27BE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En el plazo máximo de diez días desde la finalización del plazo de solicitud, el </w:t>
      </w:r>
      <w:r w:rsidRPr="00B80768">
        <w:rPr>
          <w:rFonts w:cstheme="minorHAnsi"/>
          <w:sz w:val="24"/>
          <w:szCs w:val="24"/>
          <w:lang w:eastAsia="es-ES_tradnl"/>
        </w:rPr>
        <w:t>Instituto Vasco Etxepare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 publicará en su página web la lista p</w:t>
      </w:r>
      <w:r w:rsidR="00570F1E">
        <w:rPr>
          <w:rFonts w:cstheme="minorHAnsi"/>
          <w:sz w:val="24"/>
          <w:szCs w:val="24"/>
          <w:lang w:val="es-ES" w:eastAsia="es-ES_tradnl"/>
        </w:rPr>
        <w:t>rovisional de candidaturas admit</w:t>
      </w:r>
      <w:r w:rsidRPr="00B80768">
        <w:rPr>
          <w:rFonts w:cstheme="minorHAnsi"/>
          <w:sz w:val="24"/>
          <w:szCs w:val="24"/>
          <w:lang w:val="es-ES" w:eastAsia="es-ES_tradnl"/>
        </w:rPr>
        <w:t>idas y excluidas. Si en la lista se especifica que las solicitudes han de ser completad</w:t>
      </w:r>
      <w:r w:rsidR="00570F1E">
        <w:rPr>
          <w:rFonts w:cstheme="minorHAnsi"/>
          <w:sz w:val="24"/>
          <w:szCs w:val="24"/>
          <w:lang w:val="es-ES" w:eastAsia="es-ES_tradnl"/>
        </w:rPr>
        <w:t>as o corregidas, las candidatura</w:t>
      </w:r>
      <w:r w:rsidRPr="00B80768">
        <w:rPr>
          <w:rFonts w:cstheme="minorHAnsi"/>
          <w:sz w:val="24"/>
          <w:szCs w:val="24"/>
          <w:lang w:val="es-ES" w:eastAsia="es-ES_tradnl"/>
        </w:rPr>
        <w:t>s dispondrán de diez días naturales para completarlas a través de los medios citados en el apartado anterior.</w:t>
      </w:r>
    </w:p>
    <w:p w:rsidR="000C27BE" w:rsidRPr="00B80768" w:rsidRDefault="000C27BE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Si al término de ese plazo no se ha producido la subsanación, se considerará que ha renunciado a su solicitud y se publicará la lista definitiva </w:t>
      </w:r>
      <w:r w:rsidR="005C0EF8" w:rsidRPr="00B80768">
        <w:rPr>
          <w:rFonts w:cstheme="minorHAnsi"/>
          <w:sz w:val="24"/>
          <w:szCs w:val="24"/>
          <w:lang w:val="es-ES" w:eastAsia="es-ES_tradnl"/>
        </w:rPr>
        <w:t>de candidaturas admitidas y excluidas  en la página web del Instituto Vasco Etxepare.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Comisión de selección.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Para el examen y la evaluación de las solicitudes se creará una Comisión de Selección.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Estará compuesta por las siguientes personas:</w:t>
      </w:r>
    </w:p>
    <w:p w:rsidR="00BF4B85" w:rsidRPr="00B80768" w:rsidRDefault="00DB39DA" w:rsidP="00B80768">
      <w:pPr>
        <w:pStyle w:val="Zerrenda-paragrafoa"/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P</w:t>
      </w:r>
      <w:r w:rsidR="00BF4B85" w:rsidRPr="00B80768">
        <w:rPr>
          <w:rFonts w:cstheme="minorHAnsi"/>
          <w:sz w:val="24"/>
          <w:szCs w:val="24"/>
          <w:lang w:val="es-ES" w:eastAsia="es-ES_tradnl"/>
        </w:rPr>
        <w:t>resident</w:t>
      </w:r>
      <w:r w:rsidR="00C62C68" w:rsidRPr="00B80768">
        <w:rPr>
          <w:rFonts w:cstheme="minorHAnsi"/>
          <w:sz w:val="24"/>
          <w:szCs w:val="24"/>
          <w:lang w:val="es-ES" w:eastAsia="es-ES_tradnl"/>
        </w:rPr>
        <w:t>e</w:t>
      </w:r>
      <w:r w:rsidR="00C97E5B">
        <w:rPr>
          <w:rFonts w:cstheme="minorHAnsi"/>
          <w:sz w:val="24"/>
          <w:szCs w:val="24"/>
          <w:lang w:val="es-ES" w:eastAsia="es-ES_tradnl"/>
        </w:rPr>
        <w:t>/</w:t>
      </w:r>
      <w:r w:rsidR="00BF4B85" w:rsidRPr="00B80768">
        <w:rPr>
          <w:rFonts w:cstheme="minorHAnsi"/>
          <w:sz w:val="24"/>
          <w:szCs w:val="24"/>
          <w:lang w:val="es-ES" w:eastAsia="es-ES_tradnl"/>
        </w:rPr>
        <w:t>a</w:t>
      </w:r>
    </w:p>
    <w:p w:rsidR="00BF4B85" w:rsidRPr="00B80768" w:rsidRDefault="00BF4B85" w:rsidP="00B80768">
      <w:pPr>
        <w:pStyle w:val="Zerrenda-paragrafoa"/>
        <w:widowControl w:val="0"/>
        <w:tabs>
          <w:tab w:val="left" w:pos="851"/>
        </w:tabs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</w:p>
    <w:p w:rsidR="00BF4B85" w:rsidRPr="00C97E5B" w:rsidRDefault="00BF4B85" w:rsidP="00B80768">
      <w:pPr>
        <w:pStyle w:val="Zerrenda-paragrafoa"/>
        <w:numPr>
          <w:ilvl w:val="1"/>
          <w:numId w:val="1"/>
        </w:numPr>
        <w:tabs>
          <w:tab w:val="left" w:pos="851"/>
        </w:tabs>
        <w:spacing w:before="225" w:after="0" w:line="240" w:lineRule="auto"/>
        <w:ind w:left="567" w:right="1125" w:firstLine="567"/>
        <w:contextualSpacing w:val="0"/>
        <w:rPr>
          <w:rFonts w:cstheme="minorHAnsi"/>
          <w:sz w:val="24"/>
          <w:szCs w:val="24"/>
        </w:rPr>
      </w:pPr>
      <w:r w:rsidRPr="00C97E5B">
        <w:rPr>
          <w:rFonts w:cstheme="minorHAnsi"/>
          <w:sz w:val="24"/>
          <w:szCs w:val="24"/>
        </w:rPr>
        <w:t>Un/a representante de Laboral Kutxa.</w:t>
      </w:r>
    </w:p>
    <w:p w:rsidR="00BF4B85" w:rsidRPr="00B80768" w:rsidRDefault="00BF4B85" w:rsidP="00B80768">
      <w:pPr>
        <w:pStyle w:val="Zerrenda-paragrafoa"/>
        <w:tabs>
          <w:tab w:val="left" w:pos="851"/>
        </w:tabs>
        <w:spacing w:before="225" w:after="0" w:line="240" w:lineRule="auto"/>
        <w:ind w:left="0" w:right="1125" w:firstLine="567"/>
        <w:contextualSpacing w:val="0"/>
        <w:rPr>
          <w:rFonts w:cstheme="minorHAnsi"/>
          <w:sz w:val="24"/>
          <w:szCs w:val="24"/>
        </w:rPr>
      </w:pPr>
    </w:p>
    <w:p w:rsidR="00DB39DA" w:rsidRDefault="00DB39DA" w:rsidP="00B80768">
      <w:pPr>
        <w:pStyle w:val="Zerrenda-paragrafoa"/>
        <w:widowControl w:val="0"/>
        <w:numPr>
          <w:ilvl w:val="0"/>
          <w:numId w:val="1"/>
        </w:numPr>
        <w:tabs>
          <w:tab w:val="left" w:pos="851"/>
        </w:tabs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Vocales:</w:t>
      </w:r>
    </w:p>
    <w:p w:rsidR="00B80768" w:rsidRPr="00B80768" w:rsidRDefault="00B80768" w:rsidP="00B80768">
      <w:pPr>
        <w:pStyle w:val="Zerrenda-paragrafoa"/>
        <w:widowControl w:val="0"/>
        <w:tabs>
          <w:tab w:val="left" w:pos="851"/>
        </w:tabs>
        <w:spacing w:after="220"/>
        <w:ind w:left="567"/>
        <w:jc w:val="both"/>
        <w:rPr>
          <w:rFonts w:cstheme="minorHAnsi"/>
          <w:sz w:val="24"/>
          <w:szCs w:val="24"/>
          <w:lang w:val="es-ES" w:eastAsia="es-ES_tradnl"/>
        </w:rPr>
      </w:pPr>
    </w:p>
    <w:p w:rsidR="00BF4B85" w:rsidRDefault="00BF4B85" w:rsidP="00B80768">
      <w:pPr>
        <w:pStyle w:val="Zerrenda-paragrafoa"/>
        <w:numPr>
          <w:ilvl w:val="1"/>
          <w:numId w:val="1"/>
        </w:numPr>
        <w:tabs>
          <w:tab w:val="left" w:pos="851"/>
        </w:tabs>
        <w:spacing w:before="225" w:after="0" w:line="240" w:lineRule="auto"/>
        <w:ind w:left="567" w:right="1125" w:firstLine="567"/>
        <w:contextualSpacing w:val="0"/>
        <w:rPr>
          <w:rFonts w:cstheme="minorHAnsi"/>
          <w:sz w:val="24"/>
          <w:szCs w:val="24"/>
        </w:rPr>
      </w:pPr>
      <w:r w:rsidRPr="00B80768">
        <w:rPr>
          <w:rFonts w:cstheme="minorHAnsi"/>
          <w:sz w:val="24"/>
          <w:szCs w:val="24"/>
        </w:rPr>
        <w:t>Una representan</w:t>
      </w:r>
      <w:r w:rsidR="00570F1E">
        <w:rPr>
          <w:rFonts w:cstheme="minorHAnsi"/>
          <w:sz w:val="24"/>
          <w:szCs w:val="24"/>
        </w:rPr>
        <w:t>te del Instituto Vasco Etxepare</w:t>
      </w:r>
    </w:p>
    <w:p w:rsidR="00694AE2" w:rsidRPr="00B80768" w:rsidRDefault="00694AE2" w:rsidP="00B80768">
      <w:pPr>
        <w:pStyle w:val="Zerrenda-paragrafoa"/>
        <w:numPr>
          <w:ilvl w:val="1"/>
          <w:numId w:val="1"/>
        </w:numPr>
        <w:tabs>
          <w:tab w:val="left" w:pos="851"/>
        </w:tabs>
        <w:spacing w:before="225" w:after="0" w:line="240" w:lineRule="auto"/>
        <w:ind w:left="567" w:right="1125" w:firstLine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</w:t>
      </w:r>
      <w:r w:rsidR="00C97E5B">
        <w:rPr>
          <w:rFonts w:cstheme="minorHAnsi"/>
          <w:sz w:val="24"/>
          <w:szCs w:val="24"/>
        </w:rPr>
        <w:t>personas expertas en la materia.</w:t>
      </w:r>
    </w:p>
    <w:p w:rsidR="00BF4B85" w:rsidRPr="00B80768" w:rsidRDefault="00BF4B85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Secretario/a: un/a técnico/a de</w:t>
      </w:r>
      <w:r w:rsidR="000D6C1B" w:rsidRPr="00B80768">
        <w:rPr>
          <w:rFonts w:cstheme="minorHAnsi"/>
          <w:sz w:val="24"/>
          <w:szCs w:val="24"/>
          <w:lang w:val="es-ES" w:eastAsia="es-ES_tradnl"/>
        </w:rPr>
        <w:t xml:space="preserve"> lengua y cultura vasca del IVE, con voz pero sin derecho a voto.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Criterios de selección.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La selección </w:t>
      </w:r>
      <w:r w:rsidR="000D6C1B" w:rsidRPr="00B80768">
        <w:rPr>
          <w:rFonts w:cstheme="minorHAnsi"/>
          <w:sz w:val="24"/>
          <w:szCs w:val="24"/>
          <w:lang w:val="es-ES" w:eastAsia="es-ES_tradnl"/>
        </w:rPr>
        <w:t>de las candidaturas se llevará a cabo según los siguientes criterios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, y como </w:t>
      </w:r>
      <w:r w:rsidR="000D6C1B" w:rsidRPr="00B80768">
        <w:rPr>
          <w:rFonts w:cstheme="minorHAnsi"/>
          <w:sz w:val="24"/>
          <w:szCs w:val="24"/>
          <w:lang w:val="es-ES" w:eastAsia="es-ES_tradnl"/>
        </w:rPr>
        <w:t>máximo podrán obtener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 100 puntos:</w:t>
      </w:r>
    </w:p>
    <w:p w:rsidR="00DB39DA" w:rsidRPr="00B80768" w:rsidRDefault="00DB39DA" w:rsidP="00B80768">
      <w:pPr>
        <w:pStyle w:val="Zerrenda-paragrafoa"/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Traducción: 45 puntos como máximo.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En el apartado de la traducción se tendrá en cuenta lo siguiente: trayectoria del/a traductor/a (incluyendo premios y críticas),  calidad del trabajo, dificultad y propiedad de la traducción.</w:t>
      </w:r>
    </w:p>
    <w:p w:rsidR="00DB39DA" w:rsidRPr="00B80768" w:rsidRDefault="00DB39DA" w:rsidP="00B80768">
      <w:pPr>
        <w:pStyle w:val="Zerrenda-paragrafoa"/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Publicación: 45 puntos como máximo.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En el apartado de la publicación se valorará lo siguiente: relevancia de la editorial, la edición misma, la calidad de la sección en que se ha publicado la traducción, las actividades de promoción realizadas, la página web y la acogida de la crítica.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A efectos de esta convocatoria, no se tendrán en cuenta las actividades organizadas o financiadas totalmente por el Instituto Vasco Etxepare.</w:t>
      </w:r>
    </w:p>
    <w:p w:rsidR="00DB39DA" w:rsidRPr="00B80768" w:rsidRDefault="00DB39DA" w:rsidP="00B80768">
      <w:pPr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Que la traducción se haya realizado directamente del euskera: 10 puntos.</w:t>
      </w:r>
    </w:p>
    <w:p w:rsidR="00C62C68" w:rsidRPr="00EB4678" w:rsidRDefault="00C62C68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Selección</w:t>
      </w:r>
    </w:p>
    <w:p w:rsidR="00DB39DA" w:rsidRPr="00B80768" w:rsidRDefault="00C62C68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Siguiendo el orden establecido según los criterios de selección la Comisión de Selección </w:t>
      </w:r>
      <w:r w:rsidR="001E67E1" w:rsidRPr="00B80768">
        <w:rPr>
          <w:rFonts w:cstheme="minorHAnsi"/>
          <w:sz w:val="24"/>
          <w:szCs w:val="24"/>
          <w:lang w:val="es-ES" w:eastAsia="es-ES_tradnl"/>
        </w:rPr>
        <w:t>propondrá la candidatura premiada</w:t>
      </w:r>
      <w:r w:rsidRPr="00B80768">
        <w:rPr>
          <w:rFonts w:cstheme="minorHAnsi"/>
          <w:sz w:val="24"/>
          <w:szCs w:val="24"/>
          <w:lang w:val="es-ES" w:eastAsia="es-ES_tradnl"/>
        </w:rPr>
        <w:t>. Le decisión será inapelable.</w:t>
      </w:r>
    </w:p>
    <w:p w:rsidR="001E67E1" w:rsidRPr="00B80768" w:rsidRDefault="001E67E1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En cualquier caso, el premio podrá quedar desierto en los siguientes supuestos:</w:t>
      </w:r>
    </w:p>
    <w:p w:rsidR="001E67E1" w:rsidRPr="00B80768" w:rsidRDefault="001E67E1" w:rsidP="00B80768">
      <w:pPr>
        <w:pStyle w:val="Zerrenda-paragrafoa"/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Si no se presentan solicitudes.</w:t>
      </w:r>
    </w:p>
    <w:p w:rsidR="001E67E1" w:rsidRPr="00B80768" w:rsidRDefault="001E67E1" w:rsidP="00B80768">
      <w:pPr>
        <w:pStyle w:val="Zerrenda-paragrafoa"/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Si las candidaturas logran menos de 50 puntos en la puntuación general.</w:t>
      </w:r>
    </w:p>
    <w:p w:rsidR="001E67E1" w:rsidRPr="00B80768" w:rsidRDefault="001E67E1" w:rsidP="00B80768">
      <w:pPr>
        <w:pStyle w:val="Zerrenda-paragrafoa"/>
        <w:widowControl w:val="0"/>
        <w:numPr>
          <w:ilvl w:val="0"/>
          <w:numId w:val="1"/>
        </w:numPr>
        <w:spacing w:after="220"/>
        <w:ind w:left="0" w:firstLine="567"/>
        <w:jc w:val="both"/>
        <w:rPr>
          <w:rFonts w:cstheme="minorHAnsi"/>
          <w:sz w:val="24"/>
          <w:szCs w:val="24"/>
          <w:lang w:eastAsia="es-ES_tradnl"/>
        </w:rPr>
      </w:pPr>
      <w:r w:rsidRPr="00B80768">
        <w:rPr>
          <w:rFonts w:cstheme="minorHAnsi"/>
          <w:sz w:val="24"/>
          <w:szCs w:val="24"/>
          <w:lang w:eastAsia="es-ES_tradnl"/>
        </w:rPr>
        <w:t>Si después de publicarse esta convocatoria, por cualquier motivo no se lleva a término el convenio de colaboración entre el IVE y Laboral Kutxa o se cancela.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Aceptación del premio.</w:t>
      </w:r>
    </w:p>
    <w:p w:rsidR="00D66AF3" w:rsidRDefault="00516386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>
        <w:rPr>
          <w:rFonts w:cstheme="minorHAnsi"/>
          <w:sz w:val="24"/>
          <w:szCs w:val="24"/>
          <w:lang w:val="es-ES" w:eastAsia="es-ES_tradnl"/>
        </w:rPr>
        <w:t>L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>as</w:t>
      </w:r>
      <w:r>
        <w:rPr>
          <w:rFonts w:cstheme="minorHAnsi"/>
          <w:sz w:val="24"/>
          <w:szCs w:val="24"/>
          <w:lang w:val="es-ES" w:eastAsia="es-ES_tradnl"/>
        </w:rPr>
        <w:t>/las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 xml:space="preserve"> premiadas</w:t>
      </w:r>
      <w:r>
        <w:rPr>
          <w:rFonts w:cstheme="minorHAnsi"/>
          <w:sz w:val="24"/>
          <w:szCs w:val="24"/>
          <w:lang w:val="es-ES" w:eastAsia="es-ES_tradnl"/>
        </w:rPr>
        <w:t>/as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 xml:space="preserve"> deberán aceptar el premio expresamente y por escrito. En caso contrario, se entenderá que renuncian al premio</w:t>
      </w:r>
      <w:r>
        <w:rPr>
          <w:rFonts w:cstheme="minorHAnsi"/>
          <w:sz w:val="24"/>
          <w:szCs w:val="24"/>
          <w:lang w:val="es-ES" w:eastAsia="es-ES_tradnl"/>
        </w:rPr>
        <w:t xml:space="preserve">. </w:t>
      </w:r>
      <w:r w:rsidRPr="00EB279A">
        <w:rPr>
          <w:rFonts w:cstheme="minorHAnsi"/>
          <w:sz w:val="24"/>
          <w:szCs w:val="24"/>
          <w:lang w:val="es-ES" w:eastAsia="es-ES_tradnl"/>
        </w:rPr>
        <w:t>El/la próximo/a premiada se nombrará siguiendo el orden establecido por la Comisión de Selección.</w:t>
      </w:r>
    </w:p>
    <w:p w:rsidR="00D66AF3" w:rsidRDefault="00D66AF3">
      <w:pPr>
        <w:rPr>
          <w:rFonts w:cstheme="minorHAnsi"/>
          <w:sz w:val="24"/>
          <w:szCs w:val="24"/>
          <w:lang w:val="es-ES" w:eastAsia="es-ES_tradnl"/>
        </w:rPr>
      </w:pPr>
      <w:r>
        <w:rPr>
          <w:rFonts w:cstheme="minorHAnsi"/>
          <w:sz w:val="24"/>
          <w:szCs w:val="24"/>
          <w:lang w:val="es-ES" w:eastAsia="es-ES_tradnl"/>
        </w:rPr>
        <w:br w:type="page"/>
      </w:r>
    </w:p>
    <w:p w:rsidR="00DB39DA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Acto de entrega  de premios.</w:t>
      </w:r>
    </w:p>
    <w:p w:rsidR="00DB39DA" w:rsidRPr="00B80768" w:rsidRDefault="00516386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>
        <w:rPr>
          <w:rFonts w:cstheme="minorHAnsi"/>
          <w:sz w:val="24"/>
          <w:szCs w:val="24"/>
          <w:lang w:val="es-ES" w:eastAsia="es-ES_tradnl"/>
        </w:rPr>
        <w:t xml:space="preserve">El acto de entrega de premios se llevará a cabo en torno al 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 xml:space="preserve">Día Internacional de los Traductores en un lugar </w:t>
      </w:r>
      <w:r>
        <w:rPr>
          <w:rFonts w:cstheme="minorHAnsi"/>
          <w:sz w:val="24"/>
          <w:szCs w:val="24"/>
          <w:lang w:val="es-ES" w:eastAsia="es-ES_tradnl"/>
        </w:rPr>
        <w:t xml:space="preserve">y fecha </w:t>
      </w:r>
      <w:r w:rsidR="00DB39DA" w:rsidRPr="00B80768">
        <w:rPr>
          <w:rFonts w:cstheme="minorHAnsi"/>
          <w:sz w:val="24"/>
          <w:szCs w:val="24"/>
          <w:lang w:val="es-ES" w:eastAsia="es-ES_tradnl"/>
        </w:rPr>
        <w:t xml:space="preserve">a determinar por el </w:t>
      </w:r>
      <w:r w:rsidR="00B80768" w:rsidRPr="00B80768">
        <w:rPr>
          <w:rFonts w:cstheme="minorHAnsi"/>
          <w:sz w:val="24"/>
          <w:szCs w:val="24"/>
          <w:lang w:val="es-ES" w:eastAsia="es-ES_tradnl"/>
        </w:rPr>
        <w:t xml:space="preserve">Instituto Vasco Etxepare y Laboral </w:t>
      </w:r>
      <w:proofErr w:type="spellStart"/>
      <w:r w:rsidR="00B80768" w:rsidRPr="00B80768">
        <w:rPr>
          <w:rFonts w:cstheme="minorHAnsi"/>
          <w:sz w:val="24"/>
          <w:szCs w:val="24"/>
          <w:lang w:val="es-ES" w:eastAsia="es-ES_tradnl"/>
        </w:rPr>
        <w:t>Kutxa</w:t>
      </w:r>
      <w:proofErr w:type="spellEnd"/>
      <w:r w:rsidR="00DB39DA" w:rsidRPr="00B80768">
        <w:rPr>
          <w:rFonts w:cstheme="minorHAnsi"/>
          <w:sz w:val="24"/>
          <w:szCs w:val="24"/>
          <w:lang w:val="es-ES" w:eastAsia="es-ES_tradnl"/>
        </w:rPr>
        <w:t>.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 xml:space="preserve">Derechos de explotación 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Mediante su aceptación, los premiados autorizan al </w:t>
      </w:r>
      <w:r w:rsidR="00B80768" w:rsidRPr="00B80768">
        <w:rPr>
          <w:rFonts w:cstheme="minorHAnsi"/>
          <w:sz w:val="24"/>
          <w:szCs w:val="24"/>
          <w:lang w:val="es-ES" w:eastAsia="es-ES_tradnl"/>
        </w:rPr>
        <w:t>Instituto Vasco Etxepare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 y</w:t>
      </w:r>
      <w:r w:rsidR="00B80768" w:rsidRPr="00B80768">
        <w:rPr>
          <w:rFonts w:cstheme="minorHAnsi"/>
          <w:sz w:val="24"/>
          <w:szCs w:val="24"/>
          <w:lang w:val="es-ES" w:eastAsia="es-ES_tradnl"/>
        </w:rPr>
        <w:t xml:space="preserve"> Laboral </w:t>
      </w:r>
      <w:proofErr w:type="spellStart"/>
      <w:r w:rsidR="00B80768" w:rsidRPr="00B80768">
        <w:rPr>
          <w:rFonts w:cstheme="minorHAnsi"/>
          <w:sz w:val="24"/>
          <w:szCs w:val="24"/>
          <w:lang w:val="es-ES" w:eastAsia="es-ES_tradnl"/>
        </w:rPr>
        <w:t>Kutxa</w:t>
      </w:r>
      <w:proofErr w:type="spellEnd"/>
      <w:r w:rsidR="00B80768" w:rsidRPr="00B80768">
        <w:rPr>
          <w:rFonts w:cstheme="minorHAnsi"/>
          <w:sz w:val="24"/>
          <w:szCs w:val="24"/>
          <w:lang w:val="es-ES" w:eastAsia="es-ES_tradnl"/>
        </w:rPr>
        <w:t xml:space="preserve"> </w:t>
      </w:r>
      <w:r w:rsidRPr="00B80768">
        <w:rPr>
          <w:rFonts w:cstheme="minorHAnsi"/>
          <w:sz w:val="24"/>
          <w:szCs w:val="24"/>
          <w:lang w:val="es-ES" w:eastAsia="es-ES_tradnl"/>
        </w:rPr>
        <w:t>para mostrar y hacer uso del premio, siempre que no se haga un uso comercial del mismo.</w:t>
      </w:r>
    </w:p>
    <w:p w:rsidR="00DB39DA" w:rsidRPr="00EB4678" w:rsidRDefault="00DB39DA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Pago de las cantidades.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El pago se realizará a la editorial y al/a traductor/a en el plazo de un mes desde la aceptación del premio. Se abonará la mitad a cada una de las parte.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bCs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Además del premio, la cantidad de hasta 2.000 euros para la promoción mencionada en el </w:t>
      </w:r>
      <w:r w:rsidR="00B80768" w:rsidRPr="00B80768">
        <w:rPr>
          <w:rFonts w:cstheme="minorHAnsi"/>
          <w:sz w:val="24"/>
          <w:szCs w:val="24"/>
          <w:lang w:val="es-ES" w:eastAsia="es-ES_tradnl"/>
        </w:rPr>
        <w:t>apartado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 3 se abonará a la editorial en el plazo de un mes desde que se justifique el trabajo de promoción. Para ello, deberá justificar el gasto por medio de la presentación de facturas originales o copias compulsadas de las mismas. Asimismo, junto con las facturas, deberá presentar un informe sobre la promoción realizada.</w:t>
      </w:r>
    </w:p>
    <w:p w:rsidR="00B80768" w:rsidRPr="00EB4678" w:rsidRDefault="00B80768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Protección de datos</w:t>
      </w:r>
    </w:p>
    <w:p w:rsidR="00DB39DA" w:rsidRPr="00B80768" w:rsidRDefault="00DB39DA" w:rsidP="00B80768">
      <w:pPr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>Toda la información facilitada por los/las aspirantes en la solicitud será incluida en un fichero cuyo uso se limitará a la gestión de este proceso selectivo y a la gestión de las estancias. El uso y funcionamiento de este fichero se ajustará a las previsiones de la Ley Orgánica 15/1999, de 13 de diciembre, de Protección de Datos de Carácter Personal y de la Ley 2/2004, de 25 de febrero, de ficheros de datos de carácter personal de titularidad pública y de creación de la Agencia Vasca de Protección de Datos.</w:t>
      </w:r>
    </w:p>
    <w:p w:rsidR="00B80768" w:rsidRPr="00EB4678" w:rsidRDefault="00B80768" w:rsidP="00EB4678">
      <w:pPr>
        <w:pStyle w:val="Zerrenda-paragrafoa"/>
        <w:widowControl w:val="0"/>
        <w:numPr>
          <w:ilvl w:val="0"/>
          <w:numId w:val="2"/>
        </w:numPr>
        <w:spacing w:after="220"/>
        <w:ind w:left="720"/>
        <w:rPr>
          <w:rFonts w:eastAsia="CGOmega" w:cstheme="minorHAnsi"/>
          <w:b/>
          <w:color w:val="006EAB"/>
          <w:sz w:val="24"/>
          <w:szCs w:val="24"/>
          <w:lang w:val="es-ES" w:eastAsia="zh-CN"/>
        </w:rPr>
      </w:pPr>
      <w:r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 xml:space="preserve"> Dudas y </w:t>
      </w:r>
      <w:r w:rsidR="00516386" w:rsidRPr="00EB4678">
        <w:rPr>
          <w:rFonts w:eastAsia="CGOmega" w:cstheme="minorHAnsi"/>
          <w:b/>
          <w:color w:val="006EAB"/>
          <w:sz w:val="24"/>
          <w:szCs w:val="24"/>
          <w:lang w:val="es-ES" w:eastAsia="zh-CN"/>
        </w:rPr>
        <w:t>discrepancias</w:t>
      </w:r>
    </w:p>
    <w:p w:rsidR="00B80768" w:rsidRPr="00B80768" w:rsidRDefault="00B80768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  <w:r w:rsidRPr="00B80768">
        <w:rPr>
          <w:rFonts w:cstheme="minorHAnsi"/>
          <w:sz w:val="24"/>
          <w:szCs w:val="24"/>
          <w:lang w:val="es-ES" w:eastAsia="es-ES_tradnl"/>
        </w:rPr>
        <w:t xml:space="preserve">La directora del Instituto Vasco Etxepare será la persona competente para gestionar y aclarar las dudas y </w:t>
      </w:r>
      <w:r w:rsidR="00516386">
        <w:rPr>
          <w:rFonts w:cstheme="minorHAnsi"/>
          <w:sz w:val="24"/>
          <w:szCs w:val="24"/>
          <w:lang w:val="es-ES" w:eastAsia="es-ES_tradnl"/>
        </w:rPr>
        <w:t>discrepancias</w:t>
      </w:r>
      <w:r w:rsidRPr="00B80768">
        <w:rPr>
          <w:rFonts w:cstheme="minorHAnsi"/>
          <w:sz w:val="24"/>
          <w:szCs w:val="24"/>
          <w:lang w:val="es-ES" w:eastAsia="es-ES_tradnl"/>
        </w:rPr>
        <w:t xml:space="preserve"> que pueden surgir en relación a esta convocatoria.</w:t>
      </w: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</w:p>
    <w:p w:rsidR="00DB39DA" w:rsidRPr="00B80768" w:rsidRDefault="00DB39DA" w:rsidP="00B80768">
      <w:pPr>
        <w:widowControl w:val="0"/>
        <w:spacing w:after="220"/>
        <w:ind w:firstLine="567"/>
        <w:jc w:val="both"/>
        <w:rPr>
          <w:rFonts w:cstheme="minorHAnsi"/>
          <w:sz w:val="24"/>
          <w:szCs w:val="24"/>
          <w:lang w:val="es-ES" w:eastAsia="es-ES_tradnl"/>
        </w:rPr>
      </w:pPr>
    </w:p>
    <w:p w:rsidR="005D2AF6" w:rsidRPr="00B80768" w:rsidRDefault="005D2AF6" w:rsidP="00B80768">
      <w:pPr>
        <w:ind w:firstLine="567"/>
        <w:rPr>
          <w:rFonts w:cstheme="minorHAnsi"/>
          <w:sz w:val="24"/>
          <w:szCs w:val="24"/>
        </w:rPr>
      </w:pPr>
    </w:p>
    <w:p w:rsidR="006D45CB" w:rsidRPr="00B80768" w:rsidRDefault="006D45CB" w:rsidP="00B80768">
      <w:pPr>
        <w:ind w:firstLine="567"/>
        <w:rPr>
          <w:rFonts w:cstheme="minorHAnsi"/>
          <w:sz w:val="24"/>
          <w:szCs w:val="24"/>
        </w:rPr>
      </w:pPr>
    </w:p>
    <w:sectPr w:rsidR="006D45CB" w:rsidRPr="00B80768" w:rsidSect="00D66AF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F3" w:rsidRDefault="00D66AF3" w:rsidP="00D66AF3">
      <w:pPr>
        <w:spacing w:after="0" w:line="240" w:lineRule="auto"/>
      </w:pPr>
      <w:r>
        <w:separator/>
      </w:r>
    </w:p>
  </w:endnote>
  <w:endnote w:type="continuationSeparator" w:id="0">
    <w:p w:rsidR="00D66AF3" w:rsidRDefault="00D66AF3" w:rsidP="00D6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">
    <w:altName w:val="Arial"/>
    <w:charset w:val="00"/>
    <w:family w:val="swiss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F3" w:rsidRDefault="00D66AF3" w:rsidP="00D66AF3">
      <w:pPr>
        <w:spacing w:after="0" w:line="240" w:lineRule="auto"/>
      </w:pPr>
      <w:r>
        <w:separator/>
      </w:r>
    </w:p>
  </w:footnote>
  <w:footnote w:type="continuationSeparator" w:id="0">
    <w:p w:rsidR="00D66AF3" w:rsidRDefault="00D66AF3" w:rsidP="00D6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F3" w:rsidRDefault="00D66AF3" w:rsidP="00D66AF3">
    <w:pPr>
      <w:pStyle w:val="Goiburua"/>
    </w:pPr>
    <w:r>
      <w:tab/>
      <w:t xml:space="preserve">           </w:t>
    </w:r>
    <w:r>
      <w:tab/>
      <w:t xml:space="preserve">            </w:t>
    </w:r>
  </w:p>
  <w:p w:rsidR="00D66AF3" w:rsidRDefault="00D66AF3">
    <w:pPr>
      <w:pStyle w:val="Goiburua"/>
    </w:pPr>
  </w:p>
  <w:p w:rsidR="00D66AF3" w:rsidRDefault="00D66AF3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F3" w:rsidRDefault="00D66AF3" w:rsidP="00D66AF3">
    <w:pPr>
      <w:pStyle w:val="Goiburua"/>
    </w:pPr>
    <w:r>
      <w:rPr>
        <w:rFonts w:ascii="Franklin Gothic Book" w:hAnsi="Franklin Gothic Book"/>
        <w:noProof/>
        <w:lang w:eastAsia="eu-ES"/>
      </w:rPr>
      <w:drawing>
        <wp:inline distT="0" distB="0" distL="0" distR="0" wp14:anchorId="18902A5B" wp14:editId="6DB5B35B">
          <wp:extent cx="1678789" cy="832919"/>
          <wp:effectExtent l="0" t="0" r="0" b="5715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94" cy="83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</w:t>
    </w:r>
    <w:r>
      <w:tab/>
      <w:t xml:space="preserve">            </w:t>
    </w:r>
    <w:r>
      <w:rPr>
        <w:noProof/>
        <w:lang w:eastAsia="eu-ES"/>
      </w:rPr>
      <w:drawing>
        <wp:inline distT="0" distB="0" distL="0" distR="0" wp14:anchorId="6EAEA324" wp14:editId="3CB58A4C">
          <wp:extent cx="2308293" cy="796705"/>
          <wp:effectExtent l="0" t="0" r="0" b="3810"/>
          <wp:docPr id="5" name="irc_mi" descr="http://falso9blog.com/wp-content/uploads/Logo-Laboral-Kutx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falso9blog.com/wp-content/uploads/Logo-Laboral-Kutx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534" cy="798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AF3" w:rsidRDefault="00D66AF3" w:rsidP="00D66AF3">
    <w:pPr>
      <w:pStyle w:val="Goiburua"/>
    </w:pPr>
  </w:p>
  <w:p w:rsidR="00D66AF3" w:rsidRDefault="00D66AF3" w:rsidP="00D66AF3">
    <w:pPr>
      <w:pStyle w:val="Goiburua"/>
    </w:pPr>
  </w:p>
  <w:p w:rsidR="00D66AF3" w:rsidRPr="00D66AF3" w:rsidRDefault="00D66AF3" w:rsidP="00D66AF3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064"/>
    <w:multiLevelType w:val="hybridMultilevel"/>
    <w:tmpl w:val="CDBE7278"/>
    <w:lvl w:ilvl="0" w:tplc="576C327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CE76D70"/>
    <w:multiLevelType w:val="hybridMultilevel"/>
    <w:tmpl w:val="21FE85E6"/>
    <w:lvl w:ilvl="0" w:tplc="EBDCD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B2EA2"/>
    <w:multiLevelType w:val="hybridMultilevel"/>
    <w:tmpl w:val="0BE21732"/>
    <w:lvl w:ilvl="0" w:tplc="71C056F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65" w:hanging="360"/>
      </w:pPr>
    </w:lvl>
    <w:lvl w:ilvl="2" w:tplc="042D001B" w:tentative="1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A663B92"/>
    <w:multiLevelType w:val="hybridMultilevel"/>
    <w:tmpl w:val="A95EE596"/>
    <w:lvl w:ilvl="0" w:tplc="8AE4B9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505" w:hanging="360"/>
      </w:pPr>
    </w:lvl>
    <w:lvl w:ilvl="2" w:tplc="042D001B" w:tentative="1">
      <w:start w:val="1"/>
      <w:numFmt w:val="lowerRoman"/>
      <w:lvlText w:val="%3."/>
      <w:lvlJc w:val="right"/>
      <w:pPr>
        <w:ind w:left="2225" w:hanging="180"/>
      </w:pPr>
    </w:lvl>
    <w:lvl w:ilvl="3" w:tplc="042D000F" w:tentative="1">
      <w:start w:val="1"/>
      <w:numFmt w:val="decimal"/>
      <w:lvlText w:val="%4."/>
      <w:lvlJc w:val="left"/>
      <w:pPr>
        <w:ind w:left="2945" w:hanging="360"/>
      </w:pPr>
    </w:lvl>
    <w:lvl w:ilvl="4" w:tplc="042D0019" w:tentative="1">
      <w:start w:val="1"/>
      <w:numFmt w:val="lowerLetter"/>
      <w:lvlText w:val="%5."/>
      <w:lvlJc w:val="left"/>
      <w:pPr>
        <w:ind w:left="3665" w:hanging="360"/>
      </w:pPr>
    </w:lvl>
    <w:lvl w:ilvl="5" w:tplc="042D001B" w:tentative="1">
      <w:start w:val="1"/>
      <w:numFmt w:val="lowerRoman"/>
      <w:lvlText w:val="%6."/>
      <w:lvlJc w:val="right"/>
      <w:pPr>
        <w:ind w:left="4385" w:hanging="180"/>
      </w:pPr>
    </w:lvl>
    <w:lvl w:ilvl="6" w:tplc="042D000F" w:tentative="1">
      <w:start w:val="1"/>
      <w:numFmt w:val="decimal"/>
      <w:lvlText w:val="%7."/>
      <w:lvlJc w:val="left"/>
      <w:pPr>
        <w:ind w:left="5105" w:hanging="360"/>
      </w:pPr>
    </w:lvl>
    <w:lvl w:ilvl="7" w:tplc="042D0019" w:tentative="1">
      <w:start w:val="1"/>
      <w:numFmt w:val="lowerLetter"/>
      <w:lvlText w:val="%8."/>
      <w:lvlJc w:val="left"/>
      <w:pPr>
        <w:ind w:left="5825" w:hanging="360"/>
      </w:pPr>
    </w:lvl>
    <w:lvl w:ilvl="8" w:tplc="042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88B72EC"/>
    <w:multiLevelType w:val="hybridMultilevel"/>
    <w:tmpl w:val="E542A7BC"/>
    <w:lvl w:ilvl="0" w:tplc="FB92CC6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65" w:hanging="360"/>
      </w:pPr>
    </w:lvl>
    <w:lvl w:ilvl="2" w:tplc="042D001B" w:tentative="1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1A"/>
    <w:rsid w:val="00030B28"/>
    <w:rsid w:val="000378ED"/>
    <w:rsid w:val="0006261A"/>
    <w:rsid w:val="000C27BE"/>
    <w:rsid w:val="000D6C1B"/>
    <w:rsid w:val="000F4FFF"/>
    <w:rsid w:val="00191390"/>
    <w:rsid w:val="001C3279"/>
    <w:rsid w:val="001E67E1"/>
    <w:rsid w:val="002B069C"/>
    <w:rsid w:val="002B4EEB"/>
    <w:rsid w:val="00302D14"/>
    <w:rsid w:val="003F1F41"/>
    <w:rsid w:val="00456BE1"/>
    <w:rsid w:val="00462087"/>
    <w:rsid w:val="00465CC2"/>
    <w:rsid w:val="004D46E4"/>
    <w:rsid w:val="005046D5"/>
    <w:rsid w:val="00516386"/>
    <w:rsid w:val="00554809"/>
    <w:rsid w:val="00570F1E"/>
    <w:rsid w:val="00580D1C"/>
    <w:rsid w:val="005C0EF8"/>
    <w:rsid w:val="005C7EDF"/>
    <w:rsid w:val="005D2AF6"/>
    <w:rsid w:val="006450B6"/>
    <w:rsid w:val="0067298B"/>
    <w:rsid w:val="006771DA"/>
    <w:rsid w:val="00684370"/>
    <w:rsid w:val="00694AE2"/>
    <w:rsid w:val="006C4669"/>
    <w:rsid w:val="006D45CB"/>
    <w:rsid w:val="006E0A28"/>
    <w:rsid w:val="006F15DC"/>
    <w:rsid w:val="007B0474"/>
    <w:rsid w:val="00861B38"/>
    <w:rsid w:val="008E7B63"/>
    <w:rsid w:val="009051D7"/>
    <w:rsid w:val="00947B18"/>
    <w:rsid w:val="0098124A"/>
    <w:rsid w:val="00A52538"/>
    <w:rsid w:val="00A766E8"/>
    <w:rsid w:val="00AA731A"/>
    <w:rsid w:val="00AC4B45"/>
    <w:rsid w:val="00AE6EA6"/>
    <w:rsid w:val="00B20891"/>
    <w:rsid w:val="00B225FA"/>
    <w:rsid w:val="00B80768"/>
    <w:rsid w:val="00BB3385"/>
    <w:rsid w:val="00BD37B5"/>
    <w:rsid w:val="00BF4B85"/>
    <w:rsid w:val="00C62C68"/>
    <w:rsid w:val="00C97E5B"/>
    <w:rsid w:val="00D01D73"/>
    <w:rsid w:val="00D052D3"/>
    <w:rsid w:val="00D23E57"/>
    <w:rsid w:val="00D66AF3"/>
    <w:rsid w:val="00D66E82"/>
    <w:rsid w:val="00DB39DA"/>
    <w:rsid w:val="00DE6297"/>
    <w:rsid w:val="00E36EC6"/>
    <w:rsid w:val="00E43C0F"/>
    <w:rsid w:val="00EB279A"/>
    <w:rsid w:val="00EB4678"/>
    <w:rsid w:val="00F52217"/>
    <w:rsid w:val="00F60BCB"/>
    <w:rsid w:val="00F845D0"/>
    <w:rsid w:val="00F930D0"/>
    <w:rsid w:val="00F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AA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3F1F41"/>
    <w:rPr>
      <w:rFonts w:ascii="Tahoma" w:hAnsi="Tahoma" w:cs="Tahoma"/>
      <w:sz w:val="16"/>
      <w:szCs w:val="16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E43C0F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E43C0F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E43C0F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E43C0F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E43C0F"/>
    <w:rPr>
      <w:b/>
      <w:bCs/>
      <w:sz w:val="20"/>
      <w:szCs w:val="20"/>
    </w:rPr>
  </w:style>
  <w:style w:type="paragraph" w:customStyle="1" w:styleId="BOPVDetalle">
    <w:name w:val="BOPVDetalle"/>
    <w:rsid w:val="006F15DC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val="es-ES" w:eastAsia="es-ES_tradnl"/>
    </w:rPr>
  </w:style>
  <w:style w:type="paragraph" w:styleId="Zerrenda-paragrafoa">
    <w:name w:val="List Paragraph"/>
    <w:basedOn w:val="Normala"/>
    <w:uiPriority w:val="34"/>
    <w:qFormat/>
    <w:rsid w:val="00F930D0"/>
    <w:pPr>
      <w:ind w:left="720"/>
      <w:contextualSpacing/>
    </w:pPr>
  </w:style>
  <w:style w:type="character" w:styleId="Hiperesteka">
    <w:name w:val="Hyperlink"/>
    <w:basedOn w:val="Paragrafoarenletra-tipolehenetsia"/>
    <w:uiPriority w:val="99"/>
    <w:unhideWhenUsed/>
    <w:rsid w:val="00F845D0"/>
    <w:rPr>
      <w:color w:val="0000FF" w:themeColor="hyperlink"/>
      <w:u w:val="single"/>
    </w:rPr>
  </w:style>
  <w:style w:type="paragraph" w:styleId="Goiburua">
    <w:name w:val="header"/>
    <w:basedOn w:val="Normala"/>
    <w:link w:val="GoiburuaKar"/>
    <w:uiPriority w:val="99"/>
    <w:unhideWhenUsed/>
    <w:rsid w:val="00D6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D66AF3"/>
  </w:style>
  <w:style w:type="paragraph" w:styleId="Orri-oina">
    <w:name w:val="footer"/>
    <w:basedOn w:val="Normala"/>
    <w:link w:val="Orri-oinaKar"/>
    <w:uiPriority w:val="99"/>
    <w:unhideWhenUsed/>
    <w:rsid w:val="00D6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6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AA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F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3F1F41"/>
    <w:rPr>
      <w:rFonts w:ascii="Tahoma" w:hAnsi="Tahoma" w:cs="Tahoma"/>
      <w:sz w:val="16"/>
      <w:szCs w:val="16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E43C0F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E43C0F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E43C0F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E43C0F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E43C0F"/>
    <w:rPr>
      <w:b/>
      <w:bCs/>
      <w:sz w:val="20"/>
      <w:szCs w:val="20"/>
    </w:rPr>
  </w:style>
  <w:style w:type="paragraph" w:customStyle="1" w:styleId="BOPVDetalle">
    <w:name w:val="BOPVDetalle"/>
    <w:rsid w:val="006F15DC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val="es-ES" w:eastAsia="es-ES_tradnl"/>
    </w:rPr>
  </w:style>
  <w:style w:type="paragraph" w:styleId="Zerrenda-paragrafoa">
    <w:name w:val="List Paragraph"/>
    <w:basedOn w:val="Normala"/>
    <w:uiPriority w:val="34"/>
    <w:qFormat/>
    <w:rsid w:val="00F930D0"/>
    <w:pPr>
      <w:ind w:left="720"/>
      <w:contextualSpacing/>
    </w:pPr>
  </w:style>
  <w:style w:type="character" w:styleId="Hiperesteka">
    <w:name w:val="Hyperlink"/>
    <w:basedOn w:val="Paragrafoarenletra-tipolehenetsia"/>
    <w:uiPriority w:val="99"/>
    <w:unhideWhenUsed/>
    <w:rsid w:val="00F845D0"/>
    <w:rPr>
      <w:color w:val="0000FF" w:themeColor="hyperlink"/>
      <w:u w:val="single"/>
    </w:rPr>
  </w:style>
  <w:style w:type="paragraph" w:styleId="Goiburua">
    <w:name w:val="header"/>
    <w:basedOn w:val="Normala"/>
    <w:link w:val="GoiburuaKar"/>
    <w:uiPriority w:val="99"/>
    <w:unhideWhenUsed/>
    <w:rsid w:val="00D6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D66AF3"/>
  </w:style>
  <w:style w:type="paragraph" w:styleId="Orri-oina">
    <w:name w:val="footer"/>
    <w:basedOn w:val="Normala"/>
    <w:link w:val="Orri-oinaKar"/>
    <w:uiPriority w:val="99"/>
    <w:unhideWhenUsed/>
    <w:rsid w:val="00D66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6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xepare@etxepare.e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Arrieta Urdangarin, Elena</dc:creator>
  <cp:lastModifiedBy>Galartza Arregi, Kizkitza</cp:lastModifiedBy>
  <cp:revision>73</cp:revision>
  <cp:lastPrinted>2015-06-05T14:23:00Z</cp:lastPrinted>
  <dcterms:created xsi:type="dcterms:W3CDTF">2015-06-05T12:23:00Z</dcterms:created>
  <dcterms:modified xsi:type="dcterms:W3CDTF">2017-06-05T08:27:00Z</dcterms:modified>
</cp:coreProperties>
</file>